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2B26E49B" w14:textId="77777777" w:rsidTr="00A357CC">
        <w:tc>
          <w:tcPr>
            <w:tcW w:w="4747" w:type="dxa"/>
          </w:tcPr>
          <w:p w14:paraId="2B26E49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2B26E49A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2B26E49E" w14:textId="77777777" w:rsidTr="00A357CC">
        <w:tc>
          <w:tcPr>
            <w:tcW w:w="4747" w:type="dxa"/>
          </w:tcPr>
          <w:p w14:paraId="2B26E49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2B26E49D" w14:textId="2B6586A5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9C3538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9C3538">
              <w:rPr>
                <w:rFonts w:ascii="Times New Roman" w:hAnsi="Times New Roman"/>
                <w:spacing w:val="20"/>
                <w:sz w:val="24"/>
                <w:szCs w:val="24"/>
              </w:rPr>
              <w:t>02.04.2025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9C3538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9C3538">
              <w:rPr>
                <w:rFonts w:ascii="Times New Roman" w:hAnsi="Times New Roman"/>
                <w:spacing w:val="20"/>
                <w:sz w:val="24"/>
                <w:szCs w:val="24"/>
              </w:rPr>
              <w:t>1-4/25/218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2B26E4A1" w14:textId="77777777" w:rsidTr="00A357CC">
        <w:tc>
          <w:tcPr>
            <w:tcW w:w="4747" w:type="dxa"/>
          </w:tcPr>
          <w:p w14:paraId="2B26E49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2B26E4A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2B26E4A4" w14:textId="77777777" w:rsidTr="00A357CC">
        <w:tc>
          <w:tcPr>
            <w:tcW w:w="4747" w:type="dxa"/>
          </w:tcPr>
          <w:p w14:paraId="2B26E4A2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2B26E4A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2B26E4A7" w14:textId="77777777" w:rsidTr="00A357CC">
        <w:tc>
          <w:tcPr>
            <w:tcW w:w="4747" w:type="dxa"/>
          </w:tcPr>
          <w:p w14:paraId="2B26E4A5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2B26E4A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2B26E4A8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26E4A9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2B26E4AB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2B26E4AA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2B26E4AD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2B26E4AC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2B26E4AF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2B26E4AE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2B26E4B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2B26E4B0" w14:textId="0B1F54A7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9C3538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9C3538">
              <w:rPr>
                <w:rFonts w:ascii="Times New Roman" w:hAnsi="Times New Roman"/>
                <w:b/>
                <w:sz w:val="24"/>
                <w:szCs w:val="24"/>
              </w:rPr>
              <w:t xml:space="preserve">Projekti omaosaluse garanteerimine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2B26E4B4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2B26E4B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26E4B3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2B26E4B6" w14:textId="77777777" w:rsidTr="00435C14">
        <w:tc>
          <w:tcPr>
            <w:tcW w:w="9354" w:type="dxa"/>
            <w:gridSpan w:val="2"/>
          </w:tcPr>
          <w:p w14:paraId="58E094A9" w14:textId="77777777" w:rsidR="001A1694" w:rsidRDefault="001A1694" w:rsidP="006B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512">
              <w:rPr>
                <w:rFonts w:ascii="Times New Roman" w:hAnsi="Times New Roman"/>
                <w:sz w:val="24"/>
                <w:szCs w:val="24"/>
              </w:rPr>
              <w:t xml:space="preserve">Tapa Vallavalitsus soovib esitada hiljemalt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31. juuli </w:t>
            </w:r>
            <w:r w:rsidRPr="008A0512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 „</w:t>
            </w:r>
            <w:hyperlink r:id="rId7" w:history="1">
              <w:r w:rsidRPr="0065513B">
                <w:rPr>
                  <w:rStyle w:val="H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Kohaliku omavalitsuse hoonete energiatõhususe parandamine moderniseerimisfondist 2025</w:t>
              </w:r>
            </w:hyperlink>
            <w:r w:rsidRPr="0065513B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meetmesse </w:t>
            </w:r>
            <w:r w:rsidRPr="008A0512">
              <w:rPr>
                <w:rFonts w:ascii="Times New Roman" w:hAnsi="Times New Roman"/>
                <w:sz w:val="24"/>
                <w:szCs w:val="24"/>
              </w:rPr>
              <w:t>rahastustaotluse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„Nooruse tn 2 õppehoone rekonstrueerimine“</w:t>
            </w:r>
            <w:r w:rsidRPr="008A0512">
              <w:rPr>
                <w:rFonts w:ascii="Times New Roman" w:hAnsi="Times New Roman"/>
                <w:sz w:val="24"/>
                <w:szCs w:val="24"/>
              </w:rPr>
              <w:t xml:space="preserve"> eesmärgiga </w:t>
            </w:r>
            <w:r>
              <w:rPr>
                <w:rFonts w:ascii="Times New Roman" w:hAnsi="Times New Roman"/>
                <w:sz w:val="24"/>
                <w:szCs w:val="24"/>
              </w:rPr>
              <w:t>parandada olemasoleva hoonekompleksi energiatõhusust.</w:t>
            </w:r>
          </w:p>
          <w:p w14:paraId="3AB3F069" w14:textId="77777777" w:rsidR="001A1694" w:rsidRDefault="001A1694" w:rsidP="006B3C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41ABDE5" w14:textId="21E1EC7B" w:rsidR="001A1694" w:rsidRDefault="001A1694" w:rsidP="006B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Toetusmeetme sihtrühmaks on k</w:t>
            </w:r>
            <w:r w:rsidRPr="0031694C">
              <w:rPr>
                <w:rFonts w:ascii="Times New Roman" w:hAnsi="Times New Roman"/>
                <w:sz w:val="24"/>
                <w:szCs w:val="24"/>
              </w:rPr>
              <w:t>ohali</w:t>
            </w:r>
            <w:r>
              <w:rPr>
                <w:rFonts w:ascii="Times New Roman" w:hAnsi="Times New Roman"/>
                <w:sz w:val="24"/>
                <w:szCs w:val="24"/>
              </w:rPr>
              <w:t>kud</w:t>
            </w:r>
            <w:r w:rsidRPr="0031694C">
              <w:rPr>
                <w:rFonts w:ascii="Times New Roman" w:hAnsi="Times New Roman"/>
                <w:sz w:val="24"/>
                <w:szCs w:val="24"/>
              </w:rPr>
              <w:t xml:space="preserve"> omavalitsu</w:t>
            </w:r>
            <w:r>
              <w:rPr>
                <w:rFonts w:ascii="Times New Roman" w:hAnsi="Times New Roman"/>
                <w:sz w:val="24"/>
                <w:szCs w:val="24"/>
              </w:rPr>
              <w:t>sed</w:t>
            </w:r>
            <w:r w:rsidRPr="0031694C">
              <w:rPr>
                <w:rFonts w:ascii="Times New Roman" w:hAnsi="Times New Roman"/>
                <w:sz w:val="24"/>
                <w:szCs w:val="24"/>
              </w:rPr>
              <w:t xml:space="preserve"> või nende valitseva mõju all olevad üksus</w:t>
            </w:r>
            <w:r>
              <w:rPr>
                <w:rFonts w:ascii="Times New Roman" w:hAnsi="Times New Roman"/>
                <w:sz w:val="24"/>
                <w:szCs w:val="24"/>
              </w:rPr>
              <w:t>ed</w:t>
            </w:r>
            <w:r w:rsidRPr="003D028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F35">
              <w:rPr>
                <w:rFonts w:ascii="Times New Roman" w:hAnsi="Times New Roman"/>
                <w:sz w:val="24"/>
                <w:szCs w:val="24"/>
              </w:rPr>
              <w:t xml:space="preserve">Toetuse määr </w:t>
            </w:r>
            <w:r>
              <w:rPr>
                <w:rFonts w:ascii="Times New Roman" w:hAnsi="Times New Roman"/>
                <w:sz w:val="24"/>
                <w:szCs w:val="24"/>
              </w:rPr>
              <w:t>on Tapa valla puhul</w:t>
            </w:r>
            <w:r w:rsidRPr="00362F35">
              <w:rPr>
                <w:rFonts w:ascii="Times New Roman" w:hAnsi="Times New Roman"/>
                <w:sz w:val="24"/>
                <w:szCs w:val="24"/>
              </w:rPr>
              <w:t xml:space="preserve"> 70% toetatavate tegevustega seotud abikõlblikest kuludest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summas kuni 3 150 000 </w:t>
            </w:r>
            <w:r w:rsidR="006B3CD5">
              <w:rPr>
                <w:rFonts w:ascii="Times New Roman" w:hAnsi="Times New Roman"/>
                <w:sz w:val="24"/>
                <w:szCs w:val="24"/>
              </w:rPr>
              <w:t xml:space="preserve">eurot </w:t>
            </w:r>
            <w:r>
              <w:rPr>
                <w:rFonts w:ascii="Times New Roman" w:hAnsi="Times New Roman"/>
                <w:sz w:val="24"/>
                <w:szCs w:val="24"/>
              </w:rPr>
              <w:t>ning kuni 840,00 eur</w:t>
            </w:r>
            <w:r w:rsidR="006B3CD5">
              <w:rPr>
                <w:rFonts w:ascii="Times New Roman" w:hAnsi="Times New Roman"/>
                <w:sz w:val="24"/>
                <w:szCs w:val="24"/>
              </w:rPr>
              <w:t>ot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rekonstrueeritava hoone köetava pinna ühe ruutmeetri kohta.</w:t>
            </w:r>
          </w:p>
          <w:p w14:paraId="30F3B430" w14:textId="77777777" w:rsidR="001A1694" w:rsidRDefault="001A1694" w:rsidP="006B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2F35">
              <w:rPr>
                <w:rFonts w:ascii="Times New Roman" w:hAnsi="Times New Roman"/>
                <w:sz w:val="24"/>
                <w:szCs w:val="24"/>
              </w:rPr>
              <w:t xml:space="preserve">  </w:t>
            </w:r>
          </w:p>
          <w:p w14:paraId="10545F8B" w14:textId="43B9E072" w:rsidR="001A1694" w:rsidRDefault="001A1694" w:rsidP="006B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Tapa Vallavalitsuse  poolt läbi viidud väikehanke tulemusena koostas parima pakkumuse esitanud </w:t>
            </w:r>
            <w:r w:rsidR="00D52B23">
              <w:rPr>
                <w:rFonts w:ascii="Times New Roman" w:hAnsi="Times New Roman"/>
                <w:sz w:val="24"/>
                <w:szCs w:val="24"/>
              </w:rPr>
              <w:t xml:space="preserve">DeltaE Insenerid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OÜ 23.08.2024 töö nr </w:t>
            </w:r>
            <w:r w:rsidRPr="00D3592A">
              <w:rPr>
                <w:rFonts w:ascii="Times New Roman" w:hAnsi="Times New Roman"/>
                <w:sz w:val="24"/>
                <w:szCs w:val="24"/>
              </w:rPr>
              <w:t xml:space="preserve">A2407 </w:t>
            </w:r>
            <w:r>
              <w:rPr>
                <w:rFonts w:ascii="Times New Roman" w:hAnsi="Times New Roman"/>
                <w:sz w:val="24"/>
                <w:szCs w:val="24"/>
              </w:rPr>
              <w:t>raames Nooruse tn 2 õppehoone energiaauditi ja aruande. Energia</w:t>
            </w:r>
            <w:r w:rsidR="006B3CD5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uditi tulemustest järeldus, et energiasäästumeetme maksumus 2024</w:t>
            </w:r>
            <w:r w:rsidR="0056003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aasta III kv seisu on ca 1,4 milj/eur, millele lisandub käibemaks ning p</w:t>
            </w:r>
            <w:r w:rsidRPr="006C7737">
              <w:rPr>
                <w:rFonts w:ascii="Times New Roman" w:hAnsi="Times New Roman"/>
                <w:sz w:val="24"/>
                <w:szCs w:val="24"/>
              </w:rPr>
              <w:t>rognoositava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</w:t>
            </w:r>
            <w:r w:rsidRPr="006C7737">
              <w:rPr>
                <w:rFonts w:ascii="Times New Roman" w:hAnsi="Times New Roman"/>
                <w:sz w:val="24"/>
                <w:szCs w:val="24"/>
              </w:rPr>
              <w:t>nergiakulu vähenemine 211</w:t>
            </w:r>
            <w:r w:rsidR="001F46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7737">
              <w:rPr>
                <w:rFonts w:ascii="Times New Roman" w:hAnsi="Times New Roman"/>
                <w:sz w:val="24"/>
                <w:szCs w:val="24"/>
              </w:rPr>
              <w:t>000 kWh/a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C7737">
              <w:rPr>
                <w:rFonts w:ascii="Times New Roman" w:hAnsi="Times New Roman"/>
                <w:sz w:val="24"/>
                <w:szCs w:val="24"/>
              </w:rPr>
              <w:t xml:space="preserve">CO2 emissioon väheneb ca 45,8 t/a </w:t>
            </w:r>
            <w:r>
              <w:rPr>
                <w:rFonts w:ascii="Times New Roman" w:hAnsi="Times New Roman"/>
                <w:sz w:val="24"/>
                <w:szCs w:val="24"/>
              </w:rPr>
              <w:t>ja hoone saavutab C energiaklassi. Energiasäästumeet</w:t>
            </w:r>
            <w:r w:rsidR="006B3CD5"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 ellu viimisel väheneb olemasolev energiakasutuse -38,3% võrra, rakendub  energiasääst 24,8% ning õppe</w:t>
            </w:r>
            <w:r w:rsidRPr="006C7737">
              <w:rPr>
                <w:rFonts w:ascii="Times New Roman" w:hAnsi="Times New Roman"/>
                <w:sz w:val="24"/>
                <w:szCs w:val="24"/>
              </w:rPr>
              <w:t xml:space="preserve">hoone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muudetakse </w:t>
            </w:r>
            <w:r w:rsidRPr="006C7737">
              <w:rPr>
                <w:rFonts w:ascii="Times New Roman" w:hAnsi="Times New Roman"/>
                <w:sz w:val="24"/>
                <w:szCs w:val="24"/>
              </w:rPr>
              <w:t>kaasaegsetele sisekliimanormidele vastavaks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FE223A0" w14:textId="77777777" w:rsidR="001A1694" w:rsidRDefault="001A1694" w:rsidP="006B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7D7994" w14:textId="6BDA9AC0" w:rsidR="001A1694" w:rsidRPr="008A0512" w:rsidRDefault="001A1694" w:rsidP="006B3CD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Tulenevalt asjaolust, et vastavalt toetusmeetme §</w:t>
            </w:r>
            <w:r w:rsidR="006B3C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 lg 2 kohaselt peab toetuse Taotleja esitama kohustuslik</w:t>
            </w:r>
            <w:r w:rsidR="006B3CD5">
              <w:rPr>
                <w:rFonts w:ascii="Times New Roman" w:hAnsi="Times New Roman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lisana </w:t>
            </w:r>
            <w:r w:rsidRPr="00DA20C6">
              <w:rPr>
                <w:rFonts w:ascii="Times New Roman" w:hAnsi="Times New Roman"/>
                <w:sz w:val="24"/>
                <w:szCs w:val="24"/>
              </w:rPr>
              <w:t>kinnitus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DA20C6">
              <w:rPr>
                <w:rFonts w:ascii="Times New Roman" w:hAnsi="Times New Roman"/>
                <w:sz w:val="24"/>
                <w:szCs w:val="24"/>
              </w:rPr>
              <w:t xml:space="preserve"> omafinantseeringu, mitteabikõlblike kulude ja projekti võimaliku kallinemise katmise suutlikkuse ning finantsjuhtimise seaduse §-s 341 sätestatud nõuetest kinnipidamise kohta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projekti ellu viimise ning projekti ellu viimine ületab kalendriaastat on rahastustaotluse esitamiseks vajalik Tapa Vallavolikogu vastavasisuline otsus.</w:t>
            </w:r>
          </w:p>
          <w:p w14:paraId="75AE1567" w14:textId="77777777" w:rsidR="001A1694" w:rsidRPr="00573D5A" w:rsidRDefault="001A1694" w:rsidP="006B3CD5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2780D53" w14:textId="77777777" w:rsidR="001A1694" w:rsidRDefault="001A1694" w:rsidP="006B3CD5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3D5A">
              <w:rPr>
                <w:rFonts w:ascii="Times New Roman" w:hAnsi="Times New Roman"/>
                <w:sz w:val="24"/>
                <w:szCs w:val="24"/>
              </w:rPr>
              <w:t>Lähtudes eeltoodust ja kohaliku  omavalitsuse  korralduse  seaduse § 22  lõike 1 punkti  8 ja Tapa Vallavolikogu 28.01.2019 määruse nr 47 „Tapa vallavara valitsemise kord“ § 7 lõike 3 punkti 1  alusel:</w:t>
            </w:r>
          </w:p>
          <w:p w14:paraId="0C3F0A0D" w14:textId="77777777" w:rsidR="00A357CC" w:rsidRDefault="00A357CC" w:rsidP="006B3CD5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5FB757E" w14:textId="414ACFFB" w:rsidR="001A1694" w:rsidRDefault="001A1694" w:rsidP="006B3CD5">
            <w:pPr>
              <w:pStyle w:val="Loendilik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E52">
              <w:rPr>
                <w:rFonts w:ascii="Times New Roman" w:hAnsi="Times New Roman"/>
                <w:sz w:val="24"/>
                <w:szCs w:val="24"/>
              </w:rPr>
              <w:t>Garanteeri</w:t>
            </w:r>
            <w:r w:rsidR="008000EB">
              <w:rPr>
                <w:rFonts w:ascii="Times New Roman" w:hAnsi="Times New Roman"/>
                <w:sz w:val="24"/>
                <w:szCs w:val="24"/>
              </w:rPr>
              <w:t>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20C6">
              <w:rPr>
                <w:rFonts w:ascii="Times New Roman" w:hAnsi="Times New Roman"/>
                <w:sz w:val="24"/>
                <w:szCs w:val="24"/>
              </w:rPr>
              <w:t xml:space="preserve">„Kohaliku omavalitsuse hoonete energiatõhususe parandamine moderniseerimisfondist 2025“ </w:t>
            </w:r>
            <w:r>
              <w:rPr>
                <w:rFonts w:ascii="Times New Roman" w:hAnsi="Times New Roman"/>
                <w:sz w:val="24"/>
                <w:szCs w:val="24"/>
              </w:rPr>
              <w:t>toetuse</w:t>
            </w:r>
            <w:r w:rsidRPr="00B13E52">
              <w:rPr>
                <w:rFonts w:ascii="Times New Roman" w:hAnsi="Times New Roman"/>
                <w:sz w:val="24"/>
                <w:szCs w:val="24"/>
              </w:rPr>
              <w:t>meetme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sse esitatava </w:t>
            </w:r>
            <w:r w:rsidRPr="00B13E52">
              <w:rPr>
                <w:rFonts w:ascii="Times New Roman" w:hAnsi="Times New Roman"/>
                <w:sz w:val="24"/>
                <w:szCs w:val="24"/>
              </w:rPr>
              <w:t>projekti “</w:t>
            </w:r>
            <w:r>
              <w:rPr>
                <w:rFonts w:ascii="Times New Roman" w:hAnsi="Times New Roman"/>
                <w:sz w:val="24"/>
                <w:szCs w:val="24"/>
              </w:rPr>
              <w:t>Nooruse tn 2 õppehoone rekonstrueerimine</w:t>
            </w:r>
            <w:r w:rsidRPr="00B13E52">
              <w:rPr>
                <w:rFonts w:ascii="Times New Roman" w:hAnsi="Times New Roman"/>
                <w:sz w:val="24"/>
                <w:szCs w:val="24"/>
              </w:rPr>
              <w:t>“</w:t>
            </w:r>
            <w:r w:rsidR="006210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3E52">
              <w:rPr>
                <w:rFonts w:ascii="Times New Roman" w:hAnsi="Times New Roman"/>
                <w:sz w:val="24"/>
                <w:szCs w:val="24"/>
              </w:rPr>
              <w:t>Tapa valla omaosaluse katmine perioodil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13E52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B13E52">
              <w:rPr>
                <w:rFonts w:ascii="Times New Roman" w:hAnsi="Times New Roman"/>
                <w:sz w:val="24"/>
                <w:szCs w:val="24"/>
              </w:rPr>
              <w:t xml:space="preserve"> kogusummas kuni </w:t>
            </w:r>
            <w:r>
              <w:rPr>
                <w:rFonts w:ascii="Times New Roman" w:hAnsi="Times New Roman"/>
                <w:sz w:val="24"/>
                <w:szCs w:val="24"/>
              </w:rPr>
              <w:t>750 0</w:t>
            </w:r>
            <w:r w:rsidRPr="00B13E52">
              <w:rPr>
                <w:rFonts w:ascii="Times New Roman" w:hAnsi="Times New Roman"/>
                <w:sz w:val="24"/>
                <w:szCs w:val="24"/>
              </w:rPr>
              <w:t>00 (</w:t>
            </w:r>
            <w:r>
              <w:rPr>
                <w:rFonts w:ascii="Times New Roman" w:hAnsi="Times New Roman"/>
                <w:sz w:val="24"/>
                <w:szCs w:val="24"/>
              </w:rPr>
              <w:t>seitsesada viiskümmend tuhat</w:t>
            </w:r>
            <w:r w:rsidRPr="00B13E52">
              <w:rPr>
                <w:rFonts w:ascii="Times New Roman" w:hAnsi="Times New Roman"/>
                <w:sz w:val="24"/>
                <w:szCs w:val="24"/>
              </w:rPr>
              <w:t>) eurot.</w:t>
            </w:r>
          </w:p>
          <w:p w14:paraId="2AD757BD" w14:textId="77777777" w:rsidR="001A1694" w:rsidRDefault="001A1694" w:rsidP="006B3CD5">
            <w:pPr>
              <w:pStyle w:val="Loendilik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7BA68C1" w14:textId="4146F87E" w:rsidR="001A1694" w:rsidRPr="00CF684D" w:rsidRDefault="001A1694" w:rsidP="006B3CD5">
            <w:pPr>
              <w:pStyle w:val="Loendilik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684D">
              <w:rPr>
                <w:rFonts w:ascii="Times New Roman" w:hAnsi="Times New Roman"/>
                <w:sz w:val="24"/>
                <w:szCs w:val="24"/>
              </w:rPr>
              <w:t>Nooruse 2 õppehoone köetavast pinnast kasutatakse vähemalt viie aasta jooksul projekti lõppemisest arvates vähemalt 90 protsendi ulatuses kohaliku omavalitsuse korralduse seaduse § 6 lõigete 1 ja 2 alusel osutatavate teenuste osutamiseks.</w:t>
            </w:r>
          </w:p>
          <w:p w14:paraId="46A55CEB" w14:textId="6A0B5051" w:rsidR="001A1694" w:rsidRPr="00605CBE" w:rsidRDefault="001A1694" w:rsidP="006B3CD5">
            <w:pPr>
              <w:pStyle w:val="Loendilik"/>
              <w:numPr>
                <w:ilvl w:val="0"/>
                <w:numId w:val="6"/>
              </w:numPr>
              <w:tabs>
                <w:tab w:val="left" w:pos="5387"/>
              </w:tabs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Otsus</w:t>
            </w:r>
            <w:r w:rsidRPr="00E852D9">
              <w:rPr>
                <w:rFonts w:ascii="Times New Roman" w:hAnsi="Times New Roman"/>
                <w:sz w:val="24"/>
                <w:szCs w:val="24"/>
              </w:rPr>
              <w:t xml:space="preserve"> jõustub teatavakstegemisest.</w:t>
            </w: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72"/>
              <w:gridCol w:w="4682"/>
            </w:tblGrid>
            <w:tr w:rsidR="001A1694" w14:paraId="6E102A04" w14:textId="77777777" w:rsidTr="004E3A74">
              <w:tc>
                <w:tcPr>
                  <w:tcW w:w="9354" w:type="dxa"/>
                  <w:gridSpan w:val="2"/>
                  <w:vAlign w:val="center"/>
                </w:tcPr>
                <w:p w14:paraId="50EA726B" w14:textId="77777777" w:rsidR="001A1694" w:rsidRDefault="001A1694" w:rsidP="006B3CD5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4D3464E9" w14:textId="6040AF33" w:rsidR="001A1694" w:rsidRPr="00DB4C26" w:rsidRDefault="001A1694" w:rsidP="006B3CD5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B4C26">
                    <w:rPr>
                      <w:rFonts w:ascii="Times New Roman" w:hAnsi="Times New Roman"/>
                      <w:sz w:val="24"/>
                      <w:szCs w:val="24"/>
                    </w:rPr>
                    <w:t xml:space="preserve">Käesoleva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otsuse</w:t>
                  </w:r>
                  <w:r w:rsidRPr="00DB4C26">
                    <w:rPr>
                      <w:rFonts w:ascii="Times New Roman" w:hAnsi="Times New Roman"/>
                      <w:sz w:val="24"/>
                      <w:szCs w:val="24"/>
                    </w:rPr>
                    <w:t xml:space="preserve"> peale võib esitada Tapa Vallavalitsusele vaide haldusmenetluse seaduses sätestatud korras 30 päeva jooksul, arvates korralduse teadasaamise päevast või päevast, millal oleks pidanud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otsusest </w:t>
                  </w:r>
                  <w:r w:rsidRPr="00DB4C26">
                    <w:rPr>
                      <w:rFonts w:ascii="Times New Roman" w:hAnsi="Times New Roman"/>
                      <w:sz w:val="24"/>
                      <w:szCs w:val="24"/>
                    </w:rPr>
                    <w:t>teada saama või esitada kaebuse Tartu Halduskohtule halduskohtumenetluse seadustikus sätestatud tähtaegadel ja korras.</w:t>
                  </w:r>
                </w:p>
              </w:tc>
            </w:tr>
            <w:tr w:rsidR="001A1694" w14:paraId="1F6C1CA7" w14:textId="77777777" w:rsidTr="004E3A74">
              <w:tc>
                <w:tcPr>
                  <w:tcW w:w="9354" w:type="dxa"/>
                  <w:gridSpan w:val="2"/>
                  <w:vAlign w:val="center"/>
                </w:tcPr>
                <w:p w14:paraId="7D28C074" w14:textId="77777777" w:rsidR="001A1694" w:rsidRPr="00DB4C26" w:rsidRDefault="001A1694" w:rsidP="006B3CD5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A1694" w14:paraId="71D9EC25" w14:textId="77777777" w:rsidTr="004E3A74">
              <w:tc>
                <w:tcPr>
                  <w:tcW w:w="9354" w:type="dxa"/>
                  <w:gridSpan w:val="2"/>
                  <w:vAlign w:val="center"/>
                </w:tcPr>
                <w:p w14:paraId="1193E58C" w14:textId="77777777" w:rsidR="001A1694" w:rsidRPr="00DB4C26" w:rsidRDefault="001A1694" w:rsidP="006B3CD5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A1694" w14:paraId="15C83AD4" w14:textId="77777777" w:rsidTr="004E3A74">
              <w:tc>
                <w:tcPr>
                  <w:tcW w:w="4672" w:type="dxa"/>
                  <w:vAlign w:val="center"/>
                </w:tcPr>
                <w:p w14:paraId="504541CC" w14:textId="77777777" w:rsidR="001A1694" w:rsidRPr="00E852D9" w:rsidRDefault="001A1694" w:rsidP="006B3CD5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 w:rsidRPr="00CD0CFF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(allkirjastatud digitaalselt)</w:t>
                  </w:r>
                </w:p>
              </w:tc>
              <w:tc>
                <w:tcPr>
                  <w:tcW w:w="4682" w:type="dxa"/>
                  <w:vAlign w:val="center"/>
                </w:tcPr>
                <w:p w14:paraId="0BFA20C7" w14:textId="77777777" w:rsidR="001A1694" w:rsidRDefault="001A1694" w:rsidP="006B3CD5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A1694" w14:paraId="1CBAE96D" w14:textId="77777777" w:rsidTr="004E3A74">
              <w:tc>
                <w:tcPr>
                  <w:tcW w:w="4672" w:type="dxa"/>
                  <w:vAlign w:val="center"/>
                </w:tcPr>
                <w:p w14:paraId="3D8583E6" w14:textId="77777777" w:rsidR="001A1694" w:rsidRDefault="001A1694" w:rsidP="006B3CD5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2" w:type="dxa"/>
                  <w:vAlign w:val="center"/>
                </w:tcPr>
                <w:p w14:paraId="4621E0D3" w14:textId="27A27A11" w:rsidR="001A1694" w:rsidRPr="00E852D9" w:rsidRDefault="001A1694" w:rsidP="006B3CD5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</w:tc>
            </w:tr>
            <w:tr w:rsidR="001A1694" w14:paraId="202EB3E3" w14:textId="77777777" w:rsidTr="004E3A74">
              <w:tc>
                <w:tcPr>
                  <w:tcW w:w="4672" w:type="dxa"/>
                  <w:vAlign w:val="center"/>
                </w:tcPr>
                <w:p w14:paraId="4999CE38" w14:textId="1A505F7F" w:rsidR="001A1694" w:rsidRDefault="001A1694" w:rsidP="006B3CD5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fldChar w:fldCharType="begin"/>
                  </w:r>
                  <w:r w:rsidR="009C3538">
                    <w:rPr>
                      <w:rFonts w:ascii="Times New Roman" w:hAnsi="Times New Roman"/>
                      <w:sz w:val="24"/>
                      <w:szCs w:val="24"/>
                    </w:rPr>
                    <w:instrText xml:space="preserve"> delta_signerName  \* MERGEFORMAT</w:instrTex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fldChar w:fldCharType="separate"/>
                  </w:r>
                  <w:r w:rsidR="009C3538">
                    <w:rPr>
                      <w:rFonts w:ascii="Times New Roman" w:hAnsi="Times New Roman"/>
                      <w:sz w:val="24"/>
                      <w:szCs w:val="24"/>
                    </w:rPr>
                    <w:t>Maksim Butšenkov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fldChar w:fldCharType="end"/>
                  </w:r>
                </w:p>
              </w:tc>
              <w:tc>
                <w:tcPr>
                  <w:tcW w:w="4682" w:type="dxa"/>
                  <w:vAlign w:val="center"/>
                </w:tcPr>
                <w:p w14:paraId="2C890918" w14:textId="77777777" w:rsidR="001A1694" w:rsidRDefault="001A1694" w:rsidP="006B3CD5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A1694" w14:paraId="53C02F75" w14:textId="77777777" w:rsidTr="004E3A74">
              <w:tc>
                <w:tcPr>
                  <w:tcW w:w="4672" w:type="dxa"/>
                  <w:vAlign w:val="center"/>
                </w:tcPr>
                <w:p w14:paraId="3AB7E0F5" w14:textId="207E1D57" w:rsidR="001A1694" w:rsidRDefault="00B73119" w:rsidP="006B3CD5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v</w:t>
                  </w:r>
                  <w:r w:rsidR="001A1694">
                    <w:rPr>
                      <w:rFonts w:ascii="Times New Roman" w:hAnsi="Times New Roman"/>
                      <w:sz w:val="24"/>
                      <w:szCs w:val="24"/>
                    </w:rPr>
                    <w:t>allavolikogu esimees</w:t>
                  </w:r>
                </w:p>
              </w:tc>
              <w:tc>
                <w:tcPr>
                  <w:tcW w:w="4682" w:type="dxa"/>
                  <w:vAlign w:val="center"/>
                </w:tcPr>
                <w:p w14:paraId="3B3DFA82" w14:textId="3630BFBF" w:rsidR="001A1694" w:rsidRDefault="001A1694" w:rsidP="006B3CD5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A1694" w14:paraId="07D95DA5" w14:textId="77777777" w:rsidTr="004E3A74">
              <w:tc>
                <w:tcPr>
                  <w:tcW w:w="4672" w:type="dxa"/>
                  <w:vAlign w:val="center"/>
                </w:tcPr>
                <w:p w14:paraId="0EE97A5E" w14:textId="77777777" w:rsidR="001A1694" w:rsidRDefault="001A1694" w:rsidP="006B3CD5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82" w:type="dxa"/>
                  <w:vAlign w:val="center"/>
                </w:tcPr>
                <w:p w14:paraId="2E0819FA" w14:textId="0738C321" w:rsidR="001A1694" w:rsidRDefault="001A1694" w:rsidP="006B3CD5">
                  <w:pPr>
                    <w:tabs>
                      <w:tab w:val="left" w:pos="5387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2B26E4B5" w14:textId="32895076" w:rsidR="001A1694" w:rsidRDefault="001A1694" w:rsidP="006B3CD5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2B26E4B8" w14:textId="77777777" w:rsidTr="00435C14">
        <w:tc>
          <w:tcPr>
            <w:tcW w:w="9354" w:type="dxa"/>
            <w:gridSpan w:val="2"/>
          </w:tcPr>
          <w:p w14:paraId="2B26E4B7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26E4B9" w14:textId="77777777" w:rsidR="00A357CC" w:rsidRDefault="00A357CC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26E4BA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2B26E4BF" w14:textId="77777777" w:rsidTr="00E13B6E">
        <w:tc>
          <w:tcPr>
            <w:tcW w:w="4677" w:type="dxa"/>
            <w:shd w:val="clear" w:color="auto" w:fill="auto"/>
          </w:tcPr>
          <w:p w14:paraId="2B26E4BE" w14:textId="49E15D14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26E4C0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26E4C7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1"/>
        <w:gridCol w:w="5886"/>
        <w:gridCol w:w="113"/>
      </w:tblGrid>
      <w:tr w:rsidR="00C27542" w14:paraId="2B26E4C9" w14:textId="77777777" w:rsidTr="00435C14">
        <w:tc>
          <w:tcPr>
            <w:tcW w:w="9354" w:type="dxa"/>
            <w:gridSpan w:val="3"/>
          </w:tcPr>
          <w:p w14:paraId="2B26E4C8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2B26E4CB" w14:textId="77777777" w:rsidTr="00435C14">
        <w:tc>
          <w:tcPr>
            <w:tcW w:w="9354" w:type="dxa"/>
            <w:gridSpan w:val="3"/>
          </w:tcPr>
          <w:p w14:paraId="3472B607" w14:textId="77777777" w:rsidR="001A1694" w:rsidRPr="001A1694" w:rsidRDefault="001A1694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694">
              <w:rPr>
                <w:rFonts w:ascii="Times New Roman" w:hAnsi="Times New Roman"/>
                <w:sz w:val="24"/>
                <w:szCs w:val="24"/>
              </w:rPr>
              <w:t>Tapa Vallavalitsus soovib esitada hiljemalt 31. juuli 2025 „Kohaliku omavalitsuse hoonete energiatõhususe parandamine moderniseerimisfondist 2025“ meetmesse rahastustaotluse „Nooruse tn 2 õppehoone rekonstrueerimine“ eesmärgiga parandada olemasoleva hoonekompleksi energiatõhusust.</w:t>
            </w:r>
          </w:p>
          <w:p w14:paraId="2FBDF76C" w14:textId="77777777" w:rsidR="001A1694" w:rsidRPr="001A1694" w:rsidRDefault="001A1694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5C9ABA6" w14:textId="77777777" w:rsidR="001A1694" w:rsidRPr="001A1694" w:rsidRDefault="001A1694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694">
              <w:rPr>
                <w:rFonts w:ascii="Times New Roman" w:hAnsi="Times New Roman"/>
                <w:sz w:val="24"/>
                <w:szCs w:val="24"/>
              </w:rPr>
              <w:t>Toetusmeetme sihtrühmaks on kohalikud omavalitsused või nende valitseva mõju all olevaid üksused. Toetuse määr on Tapa valla puhul 70% toetatavate tegevustega seotud abikõlblikest kuludest, summas kuni 3 150 000 ning kuni 840,00 eur rekonstrueeritava hoone köetava pinna ühe ruutmeetri kohta.</w:t>
            </w:r>
          </w:p>
          <w:p w14:paraId="44CAC8BC" w14:textId="77777777" w:rsidR="001A1694" w:rsidRPr="001A1694" w:rsidRDefault="001A1694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69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3283AE70" w14:textId="6BE137E1" w:rsidR="001A1694" w:rsidRPr="001A1694" w:rsidRDefault="001A1694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694">
              <w:rPr>
                <w:rFonts w:ascii="Times New Roman" w:hAnsi="Times New Roman"/>
                <w:sz w:val="24"/>
                <w:szCs w:val="24"/>
              </w:rPr>
              <w:t>Tapa Vallavalitsuse  poolt läbi viidud väikehanke tulemusena koostas parima pakkumuse esitanud DeltaE Insene</w:t>
            </w:r>
            <w:r w:rsidR="00A633B2">
              <w:rPr>
                <w:rFonts w:ascii="Times New Roman" w:hAnsi="Times New Roman"/>
                <w:sz w:val="24"/>
                <w:szCs w:val="24"/>
              </w:rPr>
              <w:t>rid</w:t>
            </w:r>
            <w:r w:rsidRPr="001A16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33B2" w:rsidRPr="001A1694">
              <w:rPr>
                <w:rFonts w:ascii="Times New Roman" w:hAnsi="Times New Roman"/>
                <w:sz w:val="24"/>
                <w:szCs w:val="24"/>
              </w:rPr>
              <w:t xml:space="preserve">OÜ </w:t>
            </w:r>
            <w:r w:rsidRPr="001A1694">
              <w:rPr>
                <w:rFonts w:ascii="Times New Roman" w:hAnsi="Times New Roman"/>
                <w:sz w:val="24"/>
                <w:szCs w:val="24"/>
              </w:rPr>
              <w:t>23.08.2024 töö nr A2407 raames Nooruse tn 2 õppehoone energiaauditi ja aruande. Energi</w:t>
            </w:r>
            <w:r w:rsidR="006B3CD5">
              <w:rPr>
                <w:rFonts w:ascii="Times New Roman" w:hAnsi="Times New Roman"/>
                <w:sz w:val="24"/>
                <w:szCs w:val="24"/>
              </w:rPr>
              <w:t>a</w:t>
            </w:r>
            <w:r w:rsidRPr="001A1694">
              <w:rPr>
                <w:rFonts w:ascii="Times New Roman" w:hAnsi="Times New Roman"/>
                <w:sz w:val="24"/>
                <w:szCs w:val="24"/>
              </w:rPr>
              <w:t>auditi tulemustest järeldus, et energiasäästumeetme maksumus 2024 aasta III kv seisu on ca 1,4 milj/eur, millele lisandub käibemaks ning prognoositava energiakulu vähenemine 211000 kWh/a, CO2 emissioon väheneb ca 45,8 t/a ja hoone saavutab C energiaklassi. Energiasäästumeet</w:t>
            </w:r>
            <w:r w:rsidR="00A633B2">
              <w:rPr>
                <w:rFonts w:ascii="Times New Roman" w:hAnsi="Times New Roman"/>
                <w:sz w:val="24"/>
                <w:szCs w:val="24"/>
              </w:rPr>
              <w:t>m</w:t>
            </w:r>
            <w:r w:rsidRPr="001A1694">
              <w:rPr>
                <w:rFonts w:ascii="Times New Roman" w:hAnsi="Times New Roman"/>
                <w:sz w:val="24"/>
                <w:szCs w:val="24"/>
              </w:rPr>
              <w:t>e ellu viimisel väheneb olemasolev energiakasutuse -38,3% võrra, rakendub  energiasääst 24,8% ning õppehoone muudetakse kaasaegsetele sisekliimanormidele vastavaks.</w:t>
            </w:r>
          </w:p>
          <w:p w14:paraId="00C7C5E0" w14:textId="77777777" w:rsidR="001A1694" w:rsidRPr="001A1694" w:rsidRDefault="001A1694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AFEC4EC" w14:textId="77777777" w:rsidR="001A1694" w:rsidRPr="001A1694" w:rsidRDefault="001A1694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694">
              <w:rPr>
                <w:rFonts w:ascii="Times New Roman" w:hAnsi="Times New Roman"/>
                <w:sz w:val="24"/>
                <w:szCs w:val="24"/>
              </w:rPr>
              <w:t>Tulenevalt asjaolust, et vastavalt toetusmeetme §8 lg 2 kohaselt peab toetuse Taotleja esitama kohustuslik lisana kinnituse omafinantseeringu, mitteabikõlblike kulude ja projekti võimaliku kallinemise katmise suutlikkuse ning finantsjuhtimise seaduse §-s 341 sätestatud nõuetest kinnipidamise kohta projekti ellu viimise ning projekti ellu viimine ületab kalendriaastat on rahastustaotluse esitamiseks vajalik Tapa Vallavolikogu vastavasisuline otsus.</w:t>
            </w:r>
          </w:p>
          <w:p w14:paraId="6AD53B18" w14:textId="77777777" w:rsidR="001A1694" w:rsidRPr="001A1694" w:rsidRDefault="001A1694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48F741" w14:textId="22057F04" w:rsidR="001A1694" w:rsidRPr="001A1694" w:rsidRDefault="001A1694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694">
              <w:rPr>
                <w:rFonts w:ascii="Times New Roman" w:hAnsi="Times New Roman"/>
                <w:sz w:val="24"/>
                <w:szCs w:val="24"/>
              </w:rPr>
              <w:t xml:space="preserve">Link toetusmeetmele ja lisadele </w:t>
            </w:r>
            <w:hyperlink r:id="rId8" w:history="1">
              <w:r w:rsidR="00CD78E7" w:rsidRPr="00A72E45">
                <w:rPr>
                  <w:rStyle w:val="Hperlink"/>
                  <w:rFonts w:ascii="Times New Roman" w:hAnsi="Times New Roman"/>
                  <w:sz w:val="24"/>
                  <w:szCs w:val="24"/>
                </w:rPr>
                <w:t>https://www.rtk.ee/KOV-hoonete-energiatohususe-parandamine-moderniseerimisfondist-2025</w:t>
              </w:r>
            </w:hyperlink>
            <w:r w:rsidR="00CD78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42274B" w14:textId="77777777" w:rsidR="001A1694" w:rsidRDefault="001A1694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8913B25" w14:textId="77777777" w:rsidR="00CD78E7" w:rsidRPr="001A1694" w:rsidRDefault="00CD78E7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FEA484D" w14:textId="77777777" w:rsidR="001A1694" w:rsidRPr="001A1694" w:rsidRDefault="001A1694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694">
              <w:rPr>
                <w:rFonts w:ascii="Times New Roman" w:hAnsi="Times New Roman"/>
                <w:sz w:val="24"/>
                <w:szCs w:val="24"/>
              </w:rPr>
              <w:t>Toetusmeetme põhinõuded:</w:t>
            </w:r>
          </w:p>
          <w:p w14:paraId="59E4ACEE" w14:textId="77777777" w:rsidR="001A1694" w:rsidRPr="001A1694" w:rsidRDefault="001A1694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694">
              <w:rPr>
                <w:rFonts w:ascii="Times New Roman" w:hAnsi="Times New Roman"/>
                <w:sz w:val="24"/>
                <w:szCs w:val="24"/>
              </w:rPr>
              <w:t>Toetust antakse hoones tehtavatele rekonstrueerimis- ja ehitustöödele, mis aitavad vähendada energiatarbimist, kasvuhoonegaaside heidet ja ülalpidamiskulusid ning soodustavad taastuvenergia kasutamist. Toetatakse ka nende töödega lahutamatult seotud või nende eelduseks olevaid investeeringuid.</w:t>
            </w:r>
          </w:p>
          <w:p w14:paraId="34CB0326" w14:textId="77777777" w:rsidR="001A1694" w:rsidRPr="001A1694" w:rsidRDefault="001A1694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694">
              <w:rPr>
                <w:rFonts w:ascii="Times New Roman" w:hAnsi="Times New Roman"/>
                <w:sz w:val="24"/>
                <w:szCs w:val="24"/>
              </w:rPr>
              <w:lastRenderedPageBreak/>
              <w:t>Nimetatud tööd peavad sisalduma hoone energiaauditi energiasäästumeetmete loetelus.</w:t>
            </w:r>
          </w:p>
          <w:p w14:paraId="6B4496BA" w14:textId="77777777" w:rsidR="001A1694" w:rsidRPr="001A1694" w:rsidRDefault="001A1694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694">
              <w:rPr>
                <w:rFonts w:ascii="Times New Roman" w:hAnsi="Times New Roman"/>
                <w:sz w:val="24"/>
                <w:szCs w:val="24"/>
              </w:rPr>
              <w:t xml:space="preserve">Hoone rekonstrueerimise tegevuse hankeleping peab olema sõlmitud 18 kuu jooksul pärast taotluse rahuldamise otsust. </w:t>
            </w:r>
          </w:p>
          <w:p w14:paraId="2D2F4CA5" w14:textId="0087AF16" w:rsidR="001A1694" w:rsidRPr="001A1694" w:rsidRDefault="001A1694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694">
              <w:rPr>
                <w:rFonts w:ascii="Times New Roman" w:hAnsi="Times New Roman"/>
                <w:sz w:val="24"/>
                <w:szCs w:val="24"/>
              </w:rPr>
              <w:t>Projekt maksimaalne kestvus saab olla 42 kuud pärast taotluse esitamise tähtpäeva.</w:t>
            </w:r>
          </w:p>
          <w:p w14:paraId="57B4ACE2" w14:textId="7054A02D" w:rsidR="00CD78E7" w:rsidRDefault="00CF463A" w:rsidP="00CD7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drawing>
                <wp:anchor distT="0" distB="0" distL="114300" distR="114300" simplePos="0" relativeHeight="251653120" behindDoc="0" locked="0" layoutInCell="1" allowOverlap="1" wp14:anchorId="78FE8791" wp14:editId="7298EEED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278130</wp:posOffset>
                  </wp:positionV>
                  <wp:extent cx="6443980" cy="3362325"/>
                  <wp:effectExtent l="0" t="0" r="0" b="9525"/>
                  <wp:wrapSquare wrapText="bothSides"/>
                  <wp:docPr id="154781932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3980" cy="336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E904318" w14:textId="6F9429A1" w:rsidR="00CD78E7" w:rsidRDefault="00CF463A" w:rsidP="00CD78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drawing>
                <wp:anchor distT="0" distB="0" distL="114300" distR="114300" simplePos="0" relativeHeight="251659264" behindDoc="0" locked="0" layoutInCell="1" allowOverlap="1" wp14:anchorId="3F6AC3CA" wp14:editId="35C23DB2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3742506</wp:posOffset>
                  </wp:positionV>
                  <wp:extent cx="6102350" cy="3444240"/>
                  <wp:effectExtent l="0" t="0" r="0" b="3810"/>
                  <wp:wrapSquare wrapText="bothSides"/>
                  <wp:docPr id="40555140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2350" cy="3444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D78E7">
              <w:rPr>
                <w:rFonts w:ascii="Times New Roman" w:hAnsi="Times New Roman"/>
                <w:sz w:val="24"/>
                <w:szCs w:val="24"/>
              </w:rPr>
              <w:t>Energiaauditi tulemused</w:t>
            </w:r>
          </w:p>
          <w:p w14:paraId="232A111E" w14:textId="59116E43" w:rsidR="001A1694" w:rsidRPr="001A1694" w:rsidRDefault="001A1694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FDF6FA3" w14:textId="1FAA9EA0" w:rsidR="001A1694" w:rsidRPr="001A1694" w:rsidRDefault="001A1694" w:rsidP="001A16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B26E4CA" w14:textId="0944EE32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2B26E4CD" w14:textId="77777777" w:rsidTr="00435C14">
        <w:tc>
          <w:tcPr>
            <w:tcW w:w="9354" w:type="dxa"/>
            <w:gridSpan w:val="3"/>
          </w:tcPr>
          <w:p w14:paraId="0A543EA5" w14:textId="024610C2" w:rsidR="00E13B6E" w:rsidRDefault="00CF463A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76D5B621" wp14:editId="3D7996C6">
                  <wp:simplePos x="0" y="0"/>
                  <wp:positionH relativeFrom="column">
                    <wp:posOffset>-41910</wp:posOffset>
                  </wp:positionH>
                  <wp:positionV relativeFrom="paragraph">
                    <wp:posOffset>3521075</wp:posOffset>
                  </wp:positionV>
                  <wp:extent cx="5834380" cy="3285490"/>
                  <wp:effectExtent l="0" t="0" r="0" b="0"/>
                  <wp:wrapSquare wrapText="bothSides"/>
                  <wp:docPr id="181869480" name="Picture 6" descr="A screenshot of a computer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869480" name="Picture 6" descr="A screenshot of a computer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4380" cy="3285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/>
                <w:noProof/>
                <w:sz w:val="24"/>
                <w:szCs w:val="24"/>
                <w:lang w:eastAsia="et-EE"/>
              </w:rPr>
              <w:drawing>
                <wp:anchor distT="0" distB="0" distL="114300" distR="114300" simplePos="0" relativeHeight="251663360" behindDoc="0" locked="0" layoutInCell="1" allowOverlap="1" wp14:anchorId="24EECD72" wp14:editId="11C8250F">
                  <wp:simplePos x="0" y="0"/>
                  <wp:positionH relativeFrom="column">
                    <wp:posOffset>-71755</wp:posOffset>
                  </wp:positionH>
                  <wp:positionV relativeFrom="paragraph">
                    <wp:posOffset>246380</wp:posOffset>
                  </wp:positionV>
                  <wp:extent cx="5929630" cy="3319780"/>
                  <wp:effectExtent l="0" t="0" r="0" b="0"/>
                  <wp:wrapSquare wrapText="bothSides"/>
                  <wp:docPr id="5002470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2470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9630" cy="3319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80F165" w14:textId="5984122F" w:rsidR="00CF463A" w:rsidRDefault="00CF463A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B26E4CC" w14:textId="3A7DAC41" w:rsidR="00CF463A" w:rsidRDefault="00CF463A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2B26E4D0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2B26E4CE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2B26E4CF" w14:textId="73EDA060" w:rsidR="00435C14" w:rsidRDefault="001A169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Arendusspetsialist Marko Teiva</w:t>
            </w:r>
          </w:p>
        </w:tc>
      </w:tr>
      <w:tr w:rsidR="00435C14" w14:paraId="2B26E4D3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2B26E4D1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807" w:type="dxa"/>
          </w:tcPr>
          <w:p w14:paraId="2B26E4D2" w14:textId="5A00FA8E" w:rsidR="00435C14" w:rsidRDefault="00211047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Vallavalitsus, a</w:t>
            </w:r>
            <w:r w:rsidR="001A1694">
              <w:rPr>
                <w:rFonts w:ascii="Times New Roman" w:hAnsi="Times New Roman"/>
                <w:sz w:val="24"/>
                <w:szCs w:val="24"/>
              </w:rPr>
              <w:t>rendusspetsialist Marko Teiva</w:t>
            </w:r>
          </w:p>
        </w:tc>
      </w:tr>
    </w:tbl>
    <w:p w14:paraId="2B26E4D4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13"/>
      <w:footerReference w:type="default" r:id="rId14"/>
      <w:headerReference w:type="first" r:id="rId15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297D3" w14:textId="77777777" w:rsidR="00804EF0" w:rsidRDefault="00804EF0" w:rsidP="0058227E">
      <w:pPr>
        <w:spacing w:after="0" w:line="240" w:lineRule="auto"/>
      </w:pPr>
      <w:r>
        <w:separator/>
      </w:r>
    </w:p>
  </w:endnote>
  <w:endnote w:type="continuationSeparator" w:id="0">
    <w:p w14:paraId="7C5CCDDC" w14:textId="77777777" w:rsidR="00804EF0" w:rsidRDefault="00804EF0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6E4DC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9C3538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6242F" w14:textId="77777777" w:rsidR="00804EF0" w:rsidRDefault="00804EF0" w:rsidP="0058227E">
      <w:pPr>
        <w:spacing w:after="0" w:line="240" w:lineRule="auto"/>
      </w:pPr>
      <w:r>
        <w:separator/>
      </w:r>
    </w:p>
  </w:footnote>
  <w:footnote w:type="continuationSeparator" w:id="0">
    <w:p w14:paraId="1FFC6C8C" w14:textId="77777777" w:rsidR="00804EF0" w:rsidRDefault="00804EF0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6E4D9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2B26E4DB" w14:textId="16102A0B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6E4DD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26E4E8" wp14:editId="2B26E4E9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26E4EE" w14:textId="2BD8F91E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26E4E8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2B26E4EE" w14:textId="2BD8F91E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B26E4DE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2B26E4D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2B26E4E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2B26E4E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2B26E4E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2B26E4E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2B26E4E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2B26E4E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2B26E4E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2B26E4E7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D3C39"/>
    <w:multiLevelType w:val="hybridMultilevel"/>
    <w:tmpl w:val="6550397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961540">
    <w:abstractNumId w:val="3"/>
  </w:num>
  <w:num w:numId="2" w16cid:durableId="1548682395">
    <w:abstractNumId w:val="4"/>
  </w:num>
  <w:num w:numId="3" w16cid:durableId="1402868965">
    <w:abstractNumId w:val="2"/>
  </w:num>
  <w:num w:numId="4" w16cid:durableId="1326203031">
    <w:abstractNumId w:val="0"/>
  </w:num>
  <w:num w:numId="5" w16cid:durableId="1242593625">
    <w:abstractNumId w:val="5"/>
  </w:num>
  <w:num w:numId="6" w16cid:durableId="599147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A706D"/>
    <w:rsid w:val="00105CE0"/>
    <w:rsid w:val="001A1694"/>
    <w:rsid w:val="001C5D78"/>
    <w:rsid w:val="001F46EB"/>
    <w:rsid w:val="001F4B34"/>
    <w:rsid w:val="00211047"/>
    <w:rsid w:val="00254F1E"/>
    <w:rsid w:val="002B1191"/>
    <w:rsid w:val="002D1F7D"/>
    <w:rsid w:val="003360B7"/>
    <w:rsid w:val="00341623"/>
    <w:rsid w:val="003568FE"/>
    <w:rsid w:val="00365D20"/>
    <w:rsid w:val="003B62E0"/>
    <w:rsid w:val="003F5AFE"/>
    <w:rsid w:val="00435C14"/>
    <w:rsid w:val="00480C46"/>
    <w:rsid w:val="0049397B"/>
    <w:rsid w:val="004A0794"/>
    <w:rsid w:val="004A0C92"/>
    <w:rsid w:val="004E55FF"/>
    <w:rsid w:val="00560038"/>
    <w:rsid w:val="0058227E"/>
    <w:rsid w:val="005B06A1"/>
    <w:rsid w:val="00603FA4"/>
    <w:rsid w:val="0061640A"/>
    <w:rsid w:val="00621033"/>
    <w:rsid w:val="00646951"/>
    <w:rsid w:val="006B3CD5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000EB"/>
    <w:rsid w:val="00804EF0"/>
    <w:rsid w:val="008C3218"/>
    <w:rsid w:val="008D4DA5"/>
    <w:rsid w:val="00940B98"/>
    <w:rsid w:val="009428D9"/>
    <w:rsid w:val="009C3538"/>
    <w:rsid w:val="009D2727"/>
    <w:rsid w:val="00A30B3A"/>
    <w:rsid w:val="00A357CC"/>
    <w:rsid w:val="00A43B52"/>
    <w:rsid w:val="00A633B2"/>
    <w:rsid w:val="00A70750"/>
    <w:rsid w:val="00AA1BB8"/>
    <w:rsid w:val="00AA5077"/>
    <w:rsid w:val="00AB0B37"/>
    <w:rsid w:val="00AF1DE6"/>
    <w:rsid w:val="00B126DE"/>
    <w:rsid w:val="00B41A44"/>
    <w:rsid w:val="00B43A9A"/>
    <w:rsid w:val="00B73119"/>
    <w:rsid w:val="00B9233C"/>
    <w:rsid w:val="00BB4F1C"/>
    <w:rsid w:val="00C27542"/>
    <w:rsid w:val="00C4063A"/>
    <w:rsid w:val="00CC34A7"/>
    <w:rsid w:val="00CD0CFF"/>
    <w:rsid w:val="00CD78E7"/>
    <w:rsid w:val="00CF463A"/>
    <w:rsid w:val="00CF684D"/>
    <w:rsid w:val="00D52B23"/>
    <w:rsid w:val="00DB4C26"/>
    <w:rsid w:val="00E13B6E"/>
    <w:rsid w:val="00E41682"/>
    <w:rsid w:val="00E54079"/>
    <w:rsid w:val="00EA2011"/>
    <w:rsid w:val="00EB548E"/>
    <w:rsid w:val="00ED16E3"/>
    <w:rsid w:val="00EE41BE"/>
    <w:rsid w:val="00F77BE4"/>
    <w:rsid w:val="00F9540A"/>
    <w:rsid w:val="00FC1731"/>
    <w:rsid w:val="00FC4D7A"/>
    <w:rsid w:val="00FC7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26E499"/>
  <w15:docId w15:val="{21800C34-2C3D-4350-84AD-AFE788E9A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1A1694"/>
    <w:rPr>
      <w:color w:val="0000FF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D78E7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8000E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k.ee/KOV-hoonete-energiatohususe-parandamine-moderniseerimisfondist-2025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rtk.ee/KOV-hoonete-energiatohususe-parandamine-moderniseerimisfondist-2025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873</Words>
  <Characters>5065</Characters>
  <Application>Microsoft Office Word</Application>
  <DocSecurity>0</DocSecurity>
  <Lines>42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Evelin Värk</cp:lastModifiedBy>
  <cp:revision>7</cp:revision>
  <cp:lastPrinted>2019-01-28T08:15:00Z</cp:lastPrinted>
  <dcterms:created xsi:type="dcterms:W3CDTF">2025-04-02T09:48:00Z</dcterms:created>
  <dcterms:modified xsi:type="dcterms:W3CDTF">2025-04-08T05:59:00Z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